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E4" w:rsidRDefault="000F42C3" w:rsidP="00EF78E4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EF78E4">
        <w:rPr>
          <w:rFonts w:ascii="Times New Roman" w:hAnsi="Times New Roman" w:cs="Times New Roman"/>
          <w:b/>
          <w:sz w:val="26"/>
          <w:szCs w:val="28"/>
        </w:rPr>
        <w:t>Анализ работы с обращениями граждан, поступившим</w:t>
      </w:r>
      <w:r w:rsidR="008A596C" w:rsidRPr="00EF78E4">
        <w:rPr>
          <w:rFonts w:ascii="Times New Roman" w:hAnsi="Times New Roman" w:cs="Times New Roman"/>
          <w:b/>
          <w:sz w:val="26"/>
          <w:szCs w:val="28"/>
        </w:rPr>
        <w:t>и</w:t>
      </w:r>
      <w:r w:rsidRPr="00EF78E4">
        <w:rPr>
          <w:rFonts w:ascii="Times New Roman" w:hAnsi="Times New Roman" w:cs="Times New Roman"/>
          <w:b/>
          <w:sz w:val="26"/>
          <w:szCs w:val="28"/>
        </w:rPr>
        <w:t xml:space="preserve"> </w:t>
      </w:r>
    </w:p>
    <w:p w:rsidR="000F42C3" w:rsidRPr="00EF78E4" w:rsidRDefault="000F42C3" w:rsidP="00EF78E4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EF78E4">
        <w:rPr>
          <w:rFonts w:ascii="Times New Roman" w:hAnsi="Times New Roman" w:cs="Times New Roman"/>
          <w:b/>
          <w:sz w:val="26"/>
          <w:szCs w:val="28"/>
        </w:rPr>
        <w:t xml:space="preserve">в Государственный Комитет </w:t>
      </w:r>
      <w:r w:rsidR="008A596C" w:rsidRPr="00EF78E4">
        <w:rPr>
          <w:rFonts w:ascii="Times New Roman" w:hAnsi="Times New Roman" w:cs="Times New Roman"/>
          <w:b/>
          <w:sz w:val="26"/>
          <w:szCs w:val="28"/>
        </w:rPr>
        <w:t xml:space="preserve"> Республики Карелия </w:t>
      </w:r>
      <w:r w:rsidRPr="00EF78E4">
        <w:rPr>
          <w:rFonts w:ascii="Times New Roman" w:hAnsi="Times New Roman" w:cs="Times New Roman"/>
          <w:b/>
          <w:sz w:val="26"/>
          <w:szCs w:val="28"/>
        </w:rPr>
        <w:t xml:space="preserve">по строительному, жилищному и дорожному надзору </w:t>
      </w:r>
      <w:r w:rsidR="00EF78E4">
        <w:rPr>
          <w:rFonts w:ascii="Times New Roman" w:hAnsi="Times New Roman" w:cs="Times New Roman"/>
          <w:b/>
          <w:sz w:val="26"/>
          <w:szCs w:val="28"/>
        </w:rPr>
        <w:t>за 1 квартал 2019 года</w:t>
      </w:r>
    </w:p>
    <w:p w:rsidR="008A596C" w:rsidRPr="00EF78E4" w:rsidRDefault="008A596C" w:rsidP="00EF78E4">
      <w:pPr>
        <w:spacing w:after="0"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 xml:space="preserve">  </w:t>
      </w:r>
    </w:p>
    <w:p w:rsidR="000F42C3" w:rsidRPr="00EF78E4" w:rsidRDefault="008A596C" w:rsidP="00EF78E4">
      <w:pPr>
        <w:spacing w:after="0"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 xml:space="preserve">       </w:t>
      </w:r>
      <w:r w:rsidR="000F42C3" w:rsidRPr="00EF78E4">
        <w:rPr>
          <w:rFonts w:ascii="Times New Roman" w:hAnsi="Times New Roman" w:cs="Times New Roman"/>
          <w:sz w:val="26"/>
          <w:szCs w:val="28"/>
        </w:rPr>
        <w:t>За 1 квартал 2019 года в Комитет поступило 2189 обращений</w:t>
      </w:r>
      <w:r w:rsidRPr="00EF78E4">
        <w:rPr>
          <w:rFonts w:ascii="Times New Roman" w:hAnsi="Times New Roman" w:cs="Times New Roman"/>
          <w:sz w:val="26"/>
          <w:szCs w:val="28"/>
        </w:rPr>
        <w:t xml:space="preserve">, что сопоставимо с показателем </w:t>
      </w:r>
      <w:r w:rsidR="000F42C3" w:rsidRPr="00EF78E4">
        <w:rPr>
          <w:rFonts w:ascii="Times New Roman" w:hAnsi="Times New Roman" w:cs="Times New Roman"/>
          <w:sz w:val="26"/>
          <w:szCs w:val="28"/>
        </w:rPr>
        <w:t>за анал</w:t>
      </w:r>
      <w:r w:rsidRPr="00EF78E4">
        <w:rPr>
          <w:rFonts w:ascii="Times New Roman" w:hAnsi="Times New Roman" w:cs="Times New Roman"/>
          <w:sz w:val="26"/>
          <w:szCs w:val="28"/>
        </w:rPr>
        <w:t>огичный период 2018 года – 2194</w:t>
      </w:r>
      <w:r w:rsidR="000F42C3" w:rsidRPr="00EF78E4">
        <w:rPr>
          <w:rFonts w:ascii="Times New Roman" w:hAnsi="Times New Roman" w:cs="Times New Roman"/>
          <w:sz w:val="26"/>
          <w:szCs w:val="28"/>
        </w:rPr>
        <w:t xml:space="preserve"> </w:t>
      </w:r>
      <w:r w:rsidRPr="00EF78E4">
        <w:rPr>
          <w:rFonts w:ascii="Times New Roman" w:hAnsi="Times New Roman" w:cs="Times New Roman"/>
          <w:sz w:val="26"/>
          <w:szCs w:val="28"/>
        </w:rPr>
        <w:t xml:space="preserve">(отмечено несущественное </w:t>
      </w:r>
      <w:r w:rsidR="000F42C3" w:rsidRPr="00EF78E4">
        <w:rPr>
          <w:rFonts w:ascii="Times New Roman" w:hAnsi="Times New Roman" w:cs="Times New Roman"/>
          <w:sz w:val="26"/>
          <w:szCs w:val="28"/>
        </w:rPr>
        <w:t>снижение на</w:t>
      </w:r>
      <w:r w:rsidR="00517356" w:rsidRPr="00EF78E4">
        <w:rPr>
          <w:rFonts w:ascii="Times New Roman" w:hAnsi="Times New Roman" w:cs="Times New Roman"/>
          <w:sz w:val="26"/>
          <w:szCs w:val="28"/>
        </w:rPr>
        <w:t xml:space="preserve"> 0,2%</w:t>
      </w:r>
      <w:r w:rsidRPr="00EF78E4">
        <w:rPr>
          <w:rFonts w:ascii="Times New Roman" w:hAnsi="Times New Roman" w:cs="Times New Roman"/>
          <w:sz w:val="26"/>
          <w:szCs w:val="28"/>
        </w:rPr>
        <w:t>)</w:t>
      </w:r>
      <w:r w:rsidR="00BE1B52">
        <w:rPr>
          <w:rFonts w:ascii="Times New Roman" w:hAnsi="Times New Roman" w:cs="Times New Roman"/>
          <w:sz w:val="26"/>
          <w:szCs w:val="28"/>
        </w:rPr>
        <w:t>.</w:t>
      </w:r>
    </w:p>
    <w:p w:rsidR="00ED6C6A" w:rsidRPr="00EF78E4" w:rsidRDefault="008A596C" w:rsidP="00EF78E4">
      <w:pPr>
        <w:spacing w:after="0"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 xml:space="preserve">      </w:t>
      </w:r>
      <w:r w:rsidR="009B1A5B" w:rsidRPr="00EF78E4">
        <w:rPr>
          <w:rFonts w:ascii="Times New Roman" w:hAnsi="Times New Roman" w:cs="Times New Roman"/>
          <w:sz w:val="26"/>
          <w:szCs w:val="28"/>
        </w:rPr>
        <w:t>Основны</w:t>
      </w:r>
      <w:r w:rsidRPr="00EF78E4">
        <w:rPr>
          <w:rFonts w:ascii="Times New Roman" w:hAnsi="Times New Roman" w:cs="Times New Roman"/>
          <w:sz w:val="26"/>
          <w:szCs w:val="28"/>
        </w:rPr>
        <w:t>ми проблемными вопросами, содержащимися в обращениях, остаются  вопросы по с</w:t>
      </w:r>
      <w:r w:rsidR="009B1A5B" w:rsidRPr="00EF78E4">
        <w:rPr>
          <w:rFonts w:ascii="Times New Roman" w:hAnsi="Times New Roman" w:cs="Times New Roman"/>
          <w:sz w:val="26"/>
          <w:szCs w:val="28"/>
        </w:rPr>
        <w:t>одержани</w:t>
      </w:r>
      <w:r w:rsidRPr="00EF78E4">
        <w:rPr>
          <w:rFonts w:ascii="Times New Roman" w:hAnsi="Times New Roman" w:cs="Times New Roman"/>
          <w:sz w:val="26"/>
          <w:szCs w:val="28"/>
        </w:rPr>
        <w:t>ю</w:t>
      </w:r>
      <w:r w:rsidR="009B1A5B" w:rsidRPr="00EF78E4">
        <w:rPr>
          <w:rFonts w:ascii="Times New Roman" w:hAnsi="Times New Roman" w:cs="Times New Roman"/>
          <w:sz w:val="26"/>
          <w:szCs w:val="28"/>
        </w:rPr>
        <w:t xml:space="preserve"> и обслуживани</w:t>
      </w:r>
      <w:r w:rsidRPr="00EF78E4">
        <w:rPr>
          <w:rFonts w:ascii="Times New Roman" w:hAnsi="Times New Roman" w:cs="Times New Roman"/>
          <w:sz w:val="26"/>
          <w:szCs w:val="28"/>
        </w:rPr>
        <w:t>ю</w:t>
      </w:r>
      <w:r w:rsidR="009B1A5B" w:rsidRPr="00EF78E4">
        <w:rPr>
          <w:rFonts w:ascii="Times New Roman" w:hAnsi="Times New Roman" w:cs="Times New Roman"/>
          <w:sz w:val="26"/>
          <w:szCs w:val="28"/>
        </w:rPr>
        <w:t xml:space="preserve"> общего имущества МКД</w:t>
      </w:r>
      <w:r w:rsidR="00D142EF" w:rsidRPr="00EF78E4">
        <w:rPr>
          <w:rFonts w:ascii="Times New Roman" w:hAnsi="Times New Roman" w:cs="Times New Roman"/>
          <w:sz w:val="26"/>
          <w:szCs w:val="28"/>
        </w:rPr>
        <w:t xml:space="preserve"> (28,2%), качеству п</w:t>
      </w:r>
      <w:r w:rsidR="009B1A5B" w:rsidRPr="00EF78E4">
        <w:rPr>
          <w:rFonts w:ascii="Times New Roman" w:hAnsi="Times New Roman" w:cs="Times New Roman"/>
          <w:sz w:val="26"/>
          <w:szCs w:val="28"/>
        </w:rPr>
        <w:t>редоставлени</w:t>
      </w:r>
      <w:r w:rsidR="00D142EF" w:rsidRPr="00EF78E4">
        <w:rPr>
          <w:rFonts w:ascii="Times New Roman" w:hAnsi="Times New Roman" w:cs="Times New Roman"/>
          <w:sz w:val="26"/>
          <w:szCs w:val="28"/>
        </w:rPr>
        <w:t>я</w:t>
      </w:r>
      <w:r w:rsidR="009B1A5B" w:rsidRPr="00EF78E4">
        <w:rPr>
          <w:rFonts w:ascii="Times New Roman" w:hAnsi="Times New Roman" w:cs="Times New Roman"/>
          <w:sz w:val="26"/>
          <w:szCs w:val="28"/>
        </w:rPr>
        <w:t xml:space="preserve"> населению</w:t>
      </w:r>
      <w:r w:rsidR="00D142EF" w:rsidRPr="00EF78E4">
        <w:rPr>
          <w:rFonts w:ascii="Times New Roman" w:hAnsi="Times New Roman" w:cs="Times New Roman"/>
          <w:sz w:val="26"/>
          <w:szCs w:val="28"/>
        </w:rPr>
        <w:t xml:space="preserve"> жилищных и коммунальных услуг(21,7%), начисление платы за жилищные и коммунальные услуги (17,6%)</w:t>
      </w:r>
      <w:r w:rsidR="002D6265" w:rsidRPr="00EF78E4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EF78E4" w:rsidRPr="00EF78E4" w:rsidRDefault="00D142EF" w:rsidP="00EF78E4">
      <w:pPr>
        <w:spacing w:after="0"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 xml:space="preserve">      В связи с существенными изменениями жилищного законодательства в сравнении с аналогичным периодом  предыдущего года увеличилось количество обращений, по которым даны разъяснения норм жилищного законодательства</w:t>
      </w:r>
      <w:r w:rsidR="00EF78E4" w:rsidRPr="00EF78E4">
        <w:rPr>
          <w:rFonts w:ascii="Times New Roman" w:hAnsi="Times New Roman" w:cs="Times New Roman"/>
          <w:sz w:val="26"/>
          <w:szCs w:val="28"/>
        </w:rPr>
        <w:t xml:space="preserve"> (9,3%)</w:t>
      </w:r>
      <w:r w:rsidRPr="00EF78E4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D142EF" w:rsidRPr="00EF78E4" w:rsidRDefault="00EF78E4" w:rsidP="00EF78E4">
      <w:pPr>
        <w:spacing w:after="0"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 xml:space="preserve">      </w:t>
      </w:r>
      <w:r w:rsidR="00D142EF" w:rsidRPr="00EF78E4">
        <w:rPr>
          <w:rFonts w:ascii="Times New Roman" w:hAnsi="Times New Roman" w:cs="Times New Roman"/>
          <w:sz w:val="26"/>
          <w:szCs w:val="28"/>
        </w:rPr>
        <w:t xml:space="preserve">Кроме того, переход на новую систему обращения с твердыми коммунальными отходами отразился на </w:t>
      </w:r>
      <w:r w:rsidR="00095663">
        <w:rPr>
          <w:rFonts w:ascii="Times New Roman" w:hAnsi="Times New Roman" w:cs="Times New Roman"/>
          <w:sz w:val="26"/>
          <w:szCs w:val="28"/>
        </w:rPr>
        <w:t xml:space="preserve">существенном </w:t>
      </w:r>
      <w:r w:rsidR="00D142EF" w:rsidRPr="00EF78E4">
        <w:rPr>
          <w:rFonts w:ascii="Times New Roman" w:hAnsi="Times New Roman" w:cs="Times New Roman"/>
          <w:sz w:val="26"/>
          <w:szCs w:val="28"/>
        </w:rPr>
        <w:t>росте числа обращений связанных с вопросами неудовлетворительного санитарного состояния мест общественного пользования и придомовых территорий</w:t>
      </w:r>
      <w:r w:rsidRPr="00EF78E4">
        <w:rPr>
          <w:rFonts w:ascii="Times New Roman" w:hAnsi="Times New Roman" w:cs="Times New Roman"/>
          <w:sz w:val="26"/>
          <w:szCs w:val="28"/>
        </w:rPr>
        <w:t xml:space="preserve"> (14,2%)</w:t>
      </w:r>
      <w:r w:rsidR="00D142EF" w:rsidRPr="00EF78E4">
        <w:rPr>
          <w:rFonts w:ascii="Times New Roman" w:hAnsi="Times New Roman" w:cs="Times New Roman"/>
          <w:sz w:val="26"/>
          <w:szCs w:val="28"/>
        </w:rPr>
        <w:t>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510"/>
        <w:gridCol w:w="1560"/>
        <w:gridCol w:w="1380"/>
        <w:gridCol w:w="1596"/>
        <w:gridCol w:w="1701"/>
      </w:tblGrid>
      <w:tr w:rsidR="00095663" w:rsidRPr="00EF78E4" w:rsidTr="007C6964">
        <w:tc>
          <w:tcPr>
            <w:tcW w:w="3510" w:type="dxa"/>
            <w:vMerge w:val="restart"/>
          </w:tcPr>
          <w:p w:rsidR="00095663" w:rsidRPr="00EF78E4" w:rsidRDefault="00095663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Тематика поставленных в обращениях вопросов</w:t>
            </w:r>
          </w:p>
        </w:tc>
        <w:tc>
          <w:tcPr>
            <w:tcW w:w="1560" w:type="dxa"/>
            <w:vMerge w:val="restart"/>
          </w:tcPr>
          <w:p w:rsidR="00095663" w:rsidRDefault="00095663" w:rsidP="008A596C">
            <w:pPr>
              <w:ind w:left="-101" w:right="-56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Кол-во вопросов в </w:t>
            </w:r>
          </w:p>
          <w:p w:rsidR="00095663" w:rsidRPr="00EF78E4" w:rsidRDefault="00095663" w:rsidP="008A596C">
            <w:pPr>
              <w:ind w:left="-101" w:right="-56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1 кв. </w:t>
            </w:r>
            <w:r w:rsidRPr="00EF78E4">
              <w:rPr>
                <w:rFonts w:ascii="Times New Roman" w:hAnsi="Times New Roman" w:cs="Times New Roman"/>
                <w:b/>
                <w:sz w:val="26"/>
                <w:szCs w:val="28"/>
              </w:rPr>
              <w:t>2018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г.</w:t>
            </w:r>
          </w:p>
        </w:tc>
        <w:tc>
          <w:tcPr>
            <w:tcW w:w="2976" w:type="dxa"/>
            <w:gridSpan w:val="2"/>
          </w:tcPr>
          <w:p w:rsidR="00095663" w:rsidRPr="00EF78E4" w:rsidRDefault="00095663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1 кв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артал 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EF78E4">
              <w:rPr>
                <w:rFonts w:ascii="Times New Roman" w:hAnsi="Times New Roman" w:cs="Times New Roman"/>
                <w:b/>
                <w:sz w:val="26"/>
                <w:szCs w:val="28"/>
              </w:rPr>
              <w:t>2019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ода</w:t>
            </w:r>
          </w:p>
        </w:tc>
        <w:tc>
          <w:tcPr>
            <w:tcW w:w="1701" w:type="dxa"/>
            <w:vMerge w:val="restart"/>
          </w:tcPr>
          <w:p w:rsidR="00095663" w:rsidRDefault="00095663" w:rsidP="00EF78E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Динамика</w:t>
            </w:r>
            <w:r w:rsidR="007C696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 w:rsidR="007C6964" w:rsidRPr="00EF78E4">
              <w:rPr>
                <w:rFonts w:ascii="Times New Roman" w:hAnsi="Times New Roman" w:cs="Times New Roman"/>
                <w:sz w:val="26"/>
                <w:szCs w:val="28"/>
              </w:rPr>
              <w:t>%</w:t>
            </w:r>
          </w:p>
          <w:p w:rsidR="007C6964" w:rsidRPr="007C6964" w:rsidRDefault="00095663" w:rsidP="007C6964">
            <w:pPr>
              <w:jc w:val="center"/>
              <w:rPr>
                <w:rFonts w:ascii="Times New Roman" w:hAnsi="Times New Roman" w:cs="Times New Roman"/>
                <w:i/>
                <w:spacing w:val="-20"/>
                <w:sz w:val="26"/>
                <w:szCs w:val="24"/>
              </w:rPr>
            </w:pPr>
            <w:r w:rsidRPr="007C6964">
              <w:rPr>
                <w:rFonts w:ascii="Times New Roman" w:hAnsi="Times New Roman" w:cs="Times New Roman"/>
                <w:i/>
                <w:spacing w:val="-20"/>
                <w:sz w:val="26"/>
                <w:szCs w:val="24"/>
              </w:rPr>
              <w:t xml:space="preserve">снижение </w:t>
            </w:r>
            <w:r w:rsidR="007C6964" w:rsidRPr="007C6964">
              <w:rPr>
                <w:rFonts w:ascii="Times New Roman" w:hAnsi="Times New Roman" w:cs="Times New Roman"/>
                <w:i/>
                <w:spacing w:val="-20"/>
                <w:sz w:val="26"/>
                <w:szCs w:val="24"/>
              </w:rPr>
              <w:t>(</w:t>
            </w:r>
            <w:r w:rsidRPr="007C6964">
              <w:rPr>
                <w:rFonts w:ascii="Times New Roman" w:hAnsi="Times New Roman" w:cs="Times New Roman"/>
                <w:i/>
                <w:spacing w:val="-20"/>
                <w:sz w:val="26"/>
                <w:szCs w:val="24"/>
              </w:rPr>
              <w:t>-),</w:t>
            </w:r>
          </w:p>
          <w:p w:rsidR="00095663" w:rsidRPr="00EF78E4" w:rsidRDefault="00095663" w:rsidP="007C696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7C6964">
              <w:rPr>
                <w:rFonts w:ascii="Times New Roman" w:hAnsi="Times New Roman" w:cs="Times New Roman"/>
                <w:i/>
                <w:spacing w:val="-20"/>
                <w:sz w:val="26"/>
                <w:szCs w:val="24"/>
              </w:rPr>
              <w:t xml:space="preserve">  рост (+)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</w:p>
        </w:tc>
      </w:tr>
      <w:tr w:rsidR="00095663" w:rsidRPr="00EF78E4" w:rsidTr="007C6964">
        <w:trPr>
          <w:trHeight w:val="653"/>
        </w:trPr>
        <w:tc>
          <w:tcPr>
            <w:tcW w:w="3510" w:type="dxa"/>
            <w:vMerge/>
          </w:tcPr>
          <w:p w:rsidR="00095663" w:rsidRPr="00EF78E4" w:rsidRDefault="00095663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560" w:type="dxa"/>
            <w:vMerge/>
          </w:tcPr>
          <w:p w:rsidR="00095663" w:rsidRPr="00EF78E4" w:rsidRDefault="00095663" w:rsidP="008A596C">
            <w:pPr>
              <w:ind w:left="-101" w:right="-56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380" w:type="dxa"/>
          </w:tcPr>
          <w:p w:rsidR="00095663" w:rsidRPr="00EF78E4" w:rsidRDefault="00095663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Кол-во вопросов</w:t>
            </w:r>
          </w:p>
        </w:tc>
        <w:tc>
          <w:tcPr>
            <w:tcW w:w="1596" w:type="dxa"/>
          </w:tcPr>
          <w:p w:rsidR="00095663" w:rsidRPr="00EF78E4" w:rsidRDefault="00095663" w:rsidP="007C6964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b/>
                <w:sz w:val="26"/>
                <w:szCs w:val="28"/>
              </w:rPr>
              <w:t>%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7C6964">
              <w:rPr>
                <w:rFonts w:ascii="Times New Roman" w:hAnsi="Times New Roman" w:cs="Times New Roman"/>
                <w:sz w:val="26"/>
                <w:szCs w:val="28"/>
              </w:rPr>
              <w:t xml:space="preserve"> от </w:t>
            </w:r>
            <w:r w:rsidR="007C6964" w:rsidRPr="007C6964">
              <w:rPr>
                <w:rFonts w:ascii="Times New Roman" w:hAnsi="Times New Roman" w:cs="Times New Roman"/>
                <w:spacing w:val="-20"/>
                <w:sz w:val="26"/>
                <w:szCs w:val="28"/>
              </w:rPr>
              <w:t>общего кол-ва</w:t>
            </w:r>
          </w:p>
        </w:tc>
        <w:tc>
          <w:tcPr>
            <w:tcW w:w="1701" w:type="dxa"/>
            <w:vMerge/>
          </w:tcPr>
          <w:p w:rsidR="00095663" w:rsidRPr="00EF78E4" w:rsidRDefault="00095663" w:rsidP="00EF78E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95663" w:rsidRPr="00EF78E4" w:rsidTr="007C6964">
        <w:tc>
          <w:tcPr>
            <w:tcW w:w="3510" w:type="dxa"/>
          </w:tcPr>
          <w:p w:rsidR="0073700D" w:rsidRPr="00EF78E4" w:rsidRDefault="009B1A5B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Содержание и обслуживание общего имущества МКД</w:t>
            </w:r>
          </w:p>
        </w:tc>
        <w:tc>
          <w:tcPr>
            <w:tcW w:w="1560" w:type="dxa"/>
          </w:tcPr>
          <w:p w:rsidR="007843A8" w:rsidRPr="00EF78E4" w:rsidRDefault="00791A82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644</w:t>
            </w:r>
          </w:p>
        </w:tc>
        <w:tc>
          <w:tcPr>
            <w:tcW w:w="1380" w:type="dxa"/>
          </w:tcPr>
          <w:p w:rsidR="007843A8" w:rsidRPr="00EF78E4" w:rsidRDefault="00791A82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668</w:t>
            </w:r>
          </w:p>
        </w:tc>
        <w:tc>
          <w:tcPr>
            <w:tcW w:w="1596" w:type="dxa"/>
          </w:tcPr>
          <w:p w:rsidR="007843A8" w:rsidRPr="00EF78E4" w:rsidRDefault="00792C88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28,2</w:t>
            </w:r>
          </w:p>
        </w:tc>
        <w:tc>
          <w:tcPr>
            <w:tcW w:w="1701" w:type="dxa"/>
          </w:tcPr>
          <w:p w:rsidR="007843A8" w:rsidRPr="00EF78E4" w:rsidRDefault="007C17C4" w:rsidP="007C17C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+ 0</w:t>
            </w:r>
            <w:r w:rsidR="0038079D" w:rsidRPr="00EF78E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4</w:t>
            </w:r>
          </w:p>
        </w:tc>
        <w:bookmarkStart w:id="0" w:name="_GoBack"/>
        <w:bookmarkEnd w:id="0"/>
      </w:tr>
      <w:tr w:rsidR="00095663" w:rsidRPr="00EF78E4" w:rsidTr="007C6964">
        <w:tc>
          <w:tcPr>
            <w:tcW w:w="3510" w:type="dxa"/>
          </w:tcPr>
          <w:p w:rsidR="009B518E" w:rsidRPr="00EF78E4" w:rsidRDefault="009B518E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Предоставление населению коммунальных услуг</w:t>
            </w:r>
          </w:p>
        </w:tc>
        <w:tc>
          <w:tcPr>
            <w:tcW w:w="156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549</w:t>
            </w:r>
          </w:p>
        </w:tc>
        <w:tc>
          <w:tcPr>
            <w:tcW w:w="138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514</w:t>
            </w:r>
          </w:p>
        </w:tc>
        <w:tc>
          <w:tcPr>
            <w:tcW w:w="1596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21,7</w:t>
            </w:r>
          </w:p>
        </w:tc>
        <w:tc>
          <w:tcPr>
            <w:tcW w:w="1701" w:type="dxa"/>
          </w:tcPr>
          <w:p w:rsidR="009B518E" w:rsidRPr="00EF78E4" w:rsidRDefault="00095663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- 2,0</w:t>
            </w:r>
          </w:p>
        </w:tc>
      </w:tr>
      <w:tr w:rsidR="00095663" w:rsidRPr="00EF78E4" w:rsidTr="007C6964">
        <w:tc>
          <w:tcPr>
            <w:tcW w:w="3510" w:type="dxa"/>
          </w:tcPr>
          <w:p w:rsidR="009B518E" w:rsidRPr="00EF78E4" w:rsidRDefault="009B518E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Начисление платы за услуги ЖКУ</w:t>
            </w:r>
          </w:p>
        </w:tc>
        <w:tc>
          <w:tcPr>
            <w:tcW w:w="156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490</w:t>
            </w:r>
          </w:p>
        </w:tc>
        <w:tc>
          <w:tcPr>
            <w:tcW w:w="138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416</w:t>
            </w:r>
          </w:p>
        </w:tc>
        <w:tc>
          <w:tcPr>
            <w:tcW w:w="1596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17,6</w:t>
            </w:r>
          </w:p>
        </w:tc>
        <w:tc>
          <w:tcPr>
            <w:tcW w:w="1701" w:type="dxa"/>
          </w:tcPr>
          <w:p w:rsidR="009B518E" w:rsidRPr="00EF78E4" w:rsidRDefault="00095663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- 4,3</w:t>
            </w:r>
          </w:p>
        </w:tc>
      </w:tr>
      <w:tr w:rsidR="00095663" w:rsidRPr="00EF78E4" w:rsidTr="007C6964">
        <w:tc>
          <w:tcPr>
            <w:tcW w:w="3510" w:type="dxa"/>
          </w:tcPr>
          <w:p w:rsidR="009B518E" w:rsidRPr="00EF78E4" w:rsidRDefault="009B518E" w:rsidP="00075B3D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Капитальный ремонт, аварийное состояние жилфонда</w:t>
            </w:r>
          </w:p>
        </w:tc>
        <w:tc>
          <w:tcPr>
            <w:tcW w:w="156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218</w:t>
            </w:r>
          </w:p>
        </w:tc>
        <w:tc>
          <w:tcPr>
            <w:tcW w:w="138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108</w:t>
            </w:r>
          </w:p>
        </w:tc>
        <w:tc>
          <w:tcPr>
            <w:tcW w:w="1596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4,6</w:t>
            </w:r>
          </w:p>
        </w:tc>
        <w:tc>
          <w:tcPr>
            <w:tcW w:w="1701" w:type="dxa"/>
          </w:tcPr>
          <w:p w:rsidR="009B518E" w:rsidRPr="00EF78E4" w:rsidRDefault="009B518E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- </w:t>
            </w:r>
            <w:r w:rsidR="00095663">
              <w:rPr>
                <w:rFonts w:ascii="Times New Roman" w:hAnsi="Times New Roman" w:cs="Times New Roman"/>
                <w:sz w:val="26"/>
                <w:szCs w:val="28"/>
              </w:rPr>
              <w:t>4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 w:rsidR="00095663">
              <w:rPr>
                <w:rFonts w:ascii="Times New Roman" w:hAnsi="Times New Roman" w:cs="Times New Roman"/>
                <w:sz w:val="26"/>
                <w:szCs w:val="28"/>
              </w:rPr>
              <w:t>8</w:t>
            </w:r>
          </w:p>
        </w:tc>
      </w:tr>
      <w:tr w:rsidR="00095663" w:rsidRPr="00EF78E4" w:rsidTr="007C6964">
        <w:tc>
          <w:tcPr>
            <w:tcW w:w="3510" w:type="dxa"/>
          </w:tcPr>
          <w:p w:rsidR="009B518E" w:rsidRPr="00EF78E4" w:rsidRDefault="009B518E" w:rsidP="00075B3D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Разъяснение жилищного законодательства, вопросы </w:t>
            </w:r>
            <w:r w:rsidR="00ED6C6A" w:rsidRPr="00EF78E4">
              <w:rPr>
                <w:rFonts w:ascii="Times New Roman" w:hAnsi="Times New Roman" w:cs="Times New Roman"/>
                <w:sz w:val="26"/>
                <w:szCs w:val="28"/>
              </w:rPr>
              <w:t>управления, ГИС (209 ФЗ)</w:t>
            </w:r>
          </w:p>
        </w:tc>
        <w:tc>
          <w:tcPr>
            <w:tcW w:w="156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162</w:t>
            </w:r>
          </w:p>
        </w:tc>
        <w:tc>
          <w:tcPr>
            <w:tcW w:w="1380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220</w:t>
            </w:r>
          </w:p>
        </w:tc>
        <w:tc>
          <w:tcPr>
            <w:tcW w:w="1596" w:type="dxa"/>
          </w:tcPr>
          <w:p w:rsidR="009B518E" w:rsidRPr="00EF78E4" w:rsidRDefault="009B518E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9,3</w:t>
            </w:r>
          </w:p>
        </w:tc>
        <w:tc>
          <w:tcPr>
            <w:tcW w:w="1701" w:type="dxa"/>
          </w:tcPr>
          <w:p w:rsidR="009B518E" w:rsidRPr="00EF78E4" w:rsidRDefault="009B518E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+ </w:t>
            </w:r>
            <w:r w:rsidR="00095663"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 w:rsidR="00095663">
              <w:rPr>
                <w:rFonts w:ascii="Times New Roman" w:hAnsi="Times New Roman" w:cs="Times New Roman"/>
                <w:sz w:val="26"/>
                <w:szCs w:val="28"/>
              </w:rPr>
              <w:t>3</w:t>
            </w:r>
          </w:p>
        </w:tc>
      </w:tr>
      <w:tr w:rsidR="00095663" w:rsidRPr="00EF78E4" w:rsidTr="007C6964">
        <w:tc>
          <w:tcPr>
            <w:tcW w:w="3510" w:type="dxa"/>
          </w:tcPr>
          <w:p w:rsidR="0073700D" w:rsidRPr="00EF78E4" w:rsidRDefault="009B518E" w:rsidP="00075B3D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С</w:t>
            </w:r>
            <w:r w:rsidR="00791A82" w:rsidRPr="00EF78E4">
              <w:rPr>
                <w:rFonts w:ascii="Times New Roman" w:hAnsi="Times New Roman" w:cs="Times New Roman"/>
                <w:sz w:val="26"/>
                <w:szCs w:val="28"/>
              </w:rPr>
              <w:t>анитарному состоянию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 мест общественного пользования / придомовой территории, ТКО</w:t>
            </w:r>
          </w:p>
        </w:tc>
        <w:tc>
          <w:tcPr>
            <w:tcW w:w="1560" w:type="dxa"/>
          </w:tcPr>
          <w:p w:rsidR="007843A8" w:rsidRPr="00EF78E4" w:rsidRDefault="00791A82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108</w:t>
            </w:r>
          </w:p>
        </w:tc>
        <w:tc>
          <w:tcPr>
            <w:tcW w:w="1380" w:type="dxa"/>
          </w:tcPr>
          <w:p w:rsidR="007843A8" w:rsidRPr="00EF78E4" w:rsidRDefault="00791A82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336</w:t>
            </w:r>
          </w:p>
        </w:tc>
        <w:tc>
          <w:tcPr>
            <w:tcW w:w="1596" w:type="dxa"/>
          </w:tcPr>
          <w:p w:rsidR="007843A8" w:rsidRPr="00EF78E4" w:rsidRDefault="00792C88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14,2</w:t>
            </w:r>
          </w:p>
        </w:tc>
        <w:tc>
          <w:tcPr>
            <w:tcW w:w="1701" w:type="dxa"/>
          </w:tcPr>
          <w:p w:rsidR="007843A8" w:rsidRPr="00EF78E4" w:rsidRDefault="00FA2650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 xml:space="preserve">+ </w:t>
            </w:r>
            <w:r w:rsidR="00095663">
              <w:rPr>
                <w:rFonts w:ascii="Times New Roman" w:hAnsi="Times New Roman" w:cs="Times New Roman"/>
                <w:sz w:val="26"/>
                <w:szCs w:val="28"/>
              </w:rPr>
              <w:t>10</w:t>
            </w: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,1</w:t>
            </w:r>
          </w:p>
        </w:tc>
      </w:tr>
      <w:tr w:rsidR="00095663" w:rsidRPr="00EF78E4" w:rsidTr="007C6964">
        <w:tc>
          <w:tcPr>
            <w:tcW w:w="3510" w:type="dxa"/>
          </w:tcPr>
          <w:p w:rsidR="0073700D" w:rsidRPr="00EF78E4" w:rsidRDefault="009B518E" w:rsidP="00EF78E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Строительный и дорожный надзор</w:t>
            </w:r>
          </w:p>
        </w:tc>
        <w:tc>
          <w:tcPr>
            <w:tcW w:w="1560" w:type="dxa"/>
          </w:tcPr>
          <w:p w:rsidR="007843A8" w:rsidRPr="00EF78E4" w:rsidRDefault="0073700D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58</w:t>
            </w:r>
          </w:p>
        </w:tc>
        <w:tc>
          <w:tcPr>
            <w:tcW w:w="1380" w:type="dxa"/>
          </w:tcPr>
          <w:p w:rsidR="007843A8" w:rsidRPr="00EF78E4" w:rsidRDefault="0073700D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30</w:t>
            </w:r>
          </w:p>
        </w:tc>
        <w:tc>
          <w:tcPr>
            <w:tcW w:w="1596" w:type="dxa"/>
          </w:tcPr>
          <w:p w:rsidR="007843A8" w:rsidRPr="00EF78E4" w:rsidRDefault="00792C88" w:rsidP="008A596C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1,3</w:t>
            </w:r>
          </w:p>
        </w:tc>
        <w:tc>
          <w:tcPr>
            <w:tcW w:w="1701" w:type="dxa"/>
          </w:tcPr>
          <w:p w:rsidR="007843A8" w:rsidRPr="00EF78E4" w:rsidRDefault="00095663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- 1</w:t>
            </w:r>
            <w:r w:rsidR="00FA2650" w:rsidRPr="00EF78E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2</w:t>
            </w:r>
          </w:p>
        </w:tc>
      </w:tr>
      <w:tr w:rsidR="00095663" w:rsidRPr="00EF78E4" w:rsidTr="007C6964">
        <w:tc>
          <w:tcPr>
            <w:tcW w:w="3510" w:type="dxa"/>
          </w:tcPr>
          <w:p w:rsidR="00EF78E4" w:rsidRPr="00EF78E4" w:rsidRDefault="00EF78E4" w:rsidP="00143673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Другое</w:t>
            </w:r>
          </w:p>
        </w:tc>
        <w:tc>
          <w:tcPr>
            <w:tcW w:w="1560" w:type="dxa"/>
          </w:tcPr>
          <w:p w:rsidR="00EF78E4" w:rsidRPr="00EF78E4" w:rsidRDefault="00EF78E4" w:rsidP="0014367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85</w:t>
            </w:r>
          </w:p>
        </w:tc>
        <w:tc>
          <w:tcPr>
            <w:tcW w:w="1380" w:type="dxa"/>
          </w:tcPr>
          <w:p w:rsidR="00EF78E4" w:rsidRPr="00EF78E4" w:rsidRDefault="00EF78E4" w:rsidP="0014367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78</w:t>
            </w:r>
          </w:p>
        </w:tc>
        <w:tc>
          <w:tcPr>
            <w:tcW w:w="1596" w:type="dxa"/>
          </w:tcPr>
          <w:p w:rsidR="00EF78E4" w:rsidRPr="00EF78E4" w:rsidRDefault="00EF78E4" w:rsidP="0014367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3,3</w:t>
            </w:r>
          </w:p>
        </w:tc>
        <w:tc>
          <w:tcPr>
            <w:tcW w:w="1701" w:type="dxa"/>
          </w:tcPr>
          <w:p w:rsidR="00EF78E4" w:rsidRPr="00EF78E4" w:rsidRDefault="00095663" w:rsidP="0009566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- 0</w:t>
            </w:r>
            <w:r w:rsidR="00EF78E4" w:rsidRPr="00EF78E4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4</w:t>
            </w:r>
          </w:p>
        </w:tc>
      </w:tr>
      <w:tr w:rsidR="00095663" w:rsidRPr="00EF78E4" w:rsidTr="007C6964">
        <w:tc>
          <w:tcPr>
            <w:tcW w:w="3510" w:type="dxa"/>
          </w:tcPr>
          <w:p w:rsidR="00095663" w:rsidRPr="00EF78E4" w:rsidRDefault="00095663" w:rsidP="00095663">
            <w:pPr>
              <w:jc w:val="right"/>
              <w:rPr>
                <w:rFonts w:ascii="Times New Roman" w:hAnsi="Times New Roman" w:cs="Times New Roman"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sz w:val="26"/>
                <w:szCs w:val="28"/>
              </w:rPr>
              <w:t>ИТОГО:</w:t>
            </w:r>
          </w:p>
        </w:tc>
        <w:tc>
          <w:tcPr>
            <w:tcW w:w="1560" w:type="dxa"/>
          </w:tcPr>
          <w:p w:rsidR="00095663" w:rsidRPr="00EF78E4" w:rsidRDefault="00095663" w:rsidP="008A596C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EF78E4">
              <w:rPr>
                <w:rFonts w:ascii="Times New Roman" w:hAnsi="Times New Roman" w:cs="Times New Roman"/>
                <w:b/>
                <w:sz w:val="26"/>
                <w:szCs w:val="28"/>
              </w:rPr>
              <w:t>2314</w:t>
            </w:r>
          </w:p>
        </w:tc>
        <w:tc>
          <w:tcPr>
            <w:tcW w:w="2976" w:type="dxa"/>
            <w:gridSpan w:val="2"/>
          </w:tcPr>
          <w:p w:rsidR="00095663" w:rsidRPr="00EF78E4" w:rsidRDefault="00095663" w:rsidP="00095663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    </w:t>
            </w:r>
            <w:r w:rsidRPr="00EF78E4">
              <w:rPr>
                <w:rFonts w:ascii="Times New Roman" w:hAnsi="Times New Roman" w:cs="Times New Roman"/>
                <w:b/>
                <w:sz w:val="26"/>
                <w:szCs w:val="28"/>
              </w:rPr>
              <w:t>2370</w:t>
            </w:r>
          </w:p>
        </w:tc>
        <w:tc>
          <w:tcPr>
            <w:tcW w:w="1701" w:type="dxa"/>
          </w:tcPr>
          <w:p w:rsidR="00095663" w:rsidRPr="00EF78E4" w:rsidRDefault="00095663" w:rsidP="008A596C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+ 2,4</w:t>
            </w:r>
          </w:p>
        </w:tc>
      </w:tr>
    </w:tbl>
    <w:p w:rsidR="00D142EF" w:rsidRPr="00EF78E4" w:rsidRDefault="00D142EF" w:rsidP="008A596C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3F29A2" w:rsidRDefault="003F29A2" w:rsidP="00BE1B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3F29A2">
        <w:rPr>
          <w:rFonts w:ascii="Times New Roman" w:hAnsi="Times New Roman" w:cs="Times New Roman"/>
          <w:sz w:val="26"/>
          <w:szCs w:val="28"/>
        </w:rPr>
        <w:lastRenderedPageBreak/>
        <w:t xml:space="preserve">Больше всего обращений за отчетный период поступило в орган </w:t>
      </w:r>
      <w:proofErr w:type="spellStart"/>
      <w:r w:rsidRPr="003F29A2">
        <w:rPr>
          <w:rFonts w:ascii="Times New Roman" w:hAnsi="Times New Roman" w:cs="Times New Roman"/>
          <w:sz w:val="26"/>
          <w:szCs w:val="28"/>
        </w:rPr>
        <w:t>госжилнадзора</w:t>
      </w:r>
      <w:proofErr w:type="spellEnd"/>
      <w:r w:rsidRPr="003F29A2">
        <w:rPr>
          <w:rFonts w:ascii="Times New Roman" w:hAnsi="Times New Roman" w:cs="Times New Roman"/>
          <w:sz w:val="26"/>
          <w:szCs w:val="28"/>
        </w:rPr>
        <w:t xml:space="preserve"> от жителей Петрозаводского городского округа и Сегежского муниципального района.</w:t>
      </w:r>
      <w:r w:rsidRPr="003F29A2">
        <w:rPr>
          <w:rFonts w:ascii="Times New Roman" w:hAnsi="Times New Roman" w:cs="Times New Roman"/>
          <w:sz w:val="26"/>
          <w:szCs w:val="28"/>
        </w:rPr>
        <w:tab/>
      </w:r>
    </w:p>
    <w:p w:rsidR="00BE1B52" w:rsidRDefault="00BE1B52" w:rsidP="00CC2C0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>Важно отметить</w:t>
      </w:r>
      <w:r>
        <w:rPr>
          <w:rFonts w:ascii="Times New Roman" w:hAnsi="Times New Roman" w:cs="Times New Roman"/>
          <w:sz w:val="26"/>
          <w:szCs w:val="28"/>
        </w:rPr>
        <w:t xml:space="preserve"> рост активности использования ресурсов</w:t>
      </w:r>
      <w:r w:rsidR="00CC2C0C">
        <w:rPr>
          <w:rFonts w:ascii="Times New Roman" w:hAnsi="Times New Roman" w:cs="Times New Roman"/>
          <w:sz w:val="26"/>
          <w:szCs w:val="28"/>
        </w:rPr>
        <w:t xml:space="preserve"> ГИС ЖКХ и</w:t>
      </w:r>
      <w:r>
        <w:rPr>
          <w:rFonts w:ascii="Times New Roman" w:hAnsi="Times New Roman" w:cs="Times New Roman"/>
          <w:sz w:val="26"/>
          <w:szCs w:val="28"/>
        </w:rPr>
        <w:t xml:space="preserve"> социальных сетей для направления обращений по вопросам соблюдения жилищных прав граждан.</w:t>
      </w:r>
      <w:r w:rsidR="00CC2C0C">
        <w:rPr>
          <w:rFonts w:ascii="Times New Roman" w:hAnsi="Times New Roman" w:cs="Times New Roman"/>
          <w:sz w:val="26"/>
          <w:szCs w:val="28"/>
        </w:rPr>
        <w:t xml:space="preserve">  </w:t>
      </w:r>
      <w:r>
        <w:rPr>
          <w:rFonts w:ascii="Times New Roman" w:hAnsi="Times New Roman" w:cs="Times New Roman"/>
          <w:sz w:val="26"/>
          <w:szCs w:val="28"/>
        </w:rPr>
        <w:t>Т</w:t>
      </w:r>
      <w:r w:rsidRPr="00EF78E4">
        <w:rPr>
          <w:rFonts w:ascii="Times New Roman" w:hAnsi="Times New Roman" w:cs="Times New Roman"/>
          <w:sz w:val="26"/>
          <w:szCs w:val="28"/>
        </w:rPr>
        <w:t>ак</w:t>
      </w:r>
      <w:r>
        <w:rPr>
          <w:rFonts w:ascii="Times New Roman" w:hAnsi="Times New Roman" w:cs="Times New Roman"/>
          <w:sz w:val="26"/>
          <w:szCs w:val="28"/>
        </w:rPr>
        <w:t xml:space="preserve">, </w:t>
      </w:r>
      <w:r w:rsidR="00CC2C0C">
        <w:rPr>
          <w:rFonts w:ascii="Times New Roman" w:hAnsi="Times New Roman" w:cs="Times New Roman"/>
          <w:sz w:val="26"/>
          <w:szCs w:val="28"/>
        </w:rPr>
        <w:t xml:space="preserve"> в </w:t>
      </w:r>
      <w:r w:rsidRPr="00EF78E4">
        <w:rPr>
          <w:rFonts w:ascii="Times New Roman" w:hAnsi="Times New Roman" w:cs="Times New Roman"/>
          <w:sz w:val="26"/>
          <w:szCs w:val="28"/>
        </w:rPr>
        <w:t>2018 год</w:t>
      </w:r>
      <w:r w:rsidR="00CC2C0C">
        <w:rPr>
          <w:rFonts w:ascii="Times New Roman" w:hAnsi="Times New Roman" w:cs="Times New Roman"/>
          <w:sz w:val="26"/>
          <w:szCs w:val="28"/>
        </w:rPr>
        <w:t>у</w:t>
      </w:r>
      <w:r w:rsidRPr="00EF78E4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 в Комитет поступило 796 обращений, направленных </w:t>
      </w:r>
      <w:r w:rsidRPr="00EF78E4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через социальную сеть </w:t>
      </w:r>
      <w:proofErr w:type="spellStart"/>
      <w:r>
        <w:rPr>
          <w:rFonts w:ascii="Times New Roman" w:hAnsi="Times New Roman" w:cs="Times New Roman"/>
          <w:sz w:val="26"/>
          <w:szCs w:val="28"/>
        </w:rPr>
        <w:t>ВКонтакте</w:t>
      </w:r>
      <w:proofErr w:type="spellEnd"/>
      <w:r w:rsidR="00CC2C0C">
        <w:rPr>
          <w:rFonts w:ascii="Times New Roman" w:hAnsi="Times New Roman" w:cs="Times New Roman"/>
          <w:sz w:val="26"/>
          <w:szCs w:val="28"/>
        </w:rPr>
        <w:t xml:space="preserve"> (456 обращений)</w:t>
      </w:r>
      <w:r>
        <w:rPr>
          <w:rFonts w:ascii="Times New Roman" w:hAnsi="Times New Roman" w:cs="Times New Roman"/>
          <w:sz w:val="26"/>
          <w:szCs w:val="28"/>
        </w:rPr>
        <w:t xml:space="preserve"> и </w:t>
      </w:r>
      <w:r w:rsidRPr="00EF78E4">
        <w:rPr>
          <w:rFonts w:ascii="Times New Roman" w:hAnsi="Times New Roman" w:cs="Times New Roman"/>
          <w:sz w:val="26"/>
          <w:szCs w:val="28"/>
        </w:rPr>
        <w:t xml:space="preserve"> ГИС ЖКХ</w:t>
      </w:r>
      <w:r w:rsidR="00CC2C0C">
        <w:rPr>
          <w:rFonts w:ascii="Times New Roman" w:hAnsi="Times New Roman" w:cs="Times New Roman"/>
          <w:sz w:val="26"/>
          <w:szCs w:val="28"/>
        </w:rPr>
        <w:t xml:space="preserve"> (340 обращений). Данная тенденция сохраняется и в 2019 году. По итогам 1 квартала 2019 года 118 обращ</w:t>
      </w:r>
      <w:r w:rsidR="00887B1A">
        <w:rPr>
          <w:rFonts w:ascii="Times New Roman" w:hAnsi="Times New Roman" w:cs="Times New Roman"/>
          <w:sz w:val="26"/>
          <w:szCs w:val="28"/>
        </w:rPr>
        <w:t>ений направлено через ГИС ЖКХ (</w:t>
      </w:r>
      <w:r w:rsidR="00CC2C0C">
        <w:rPr>
          <w:rFonts w:ascii="Times New Roman" w:hAnsi="Times New Roman" w:cs="Times New Roman"/>
          <w:sz w:val="26"/>
          <w:szCs w:val="28"/>
        </w:rPr>
        <w:t>за аналоги</w:t>
      </w:r>
      <w:r w:rsidR="00887B1A">
        <w:rPr>
          <w:rFonts w:ascii="Times New Roman" w:hAnsi="Times New Roman" w:cs="Times New Roman"/>
          <w:sz w:val="26"/>
          <w:szCs w:val="28"/>
        </w:rPr>
        <w:t xml:space="preserve">чный период 2018 года – 111) и </w:t>
      </w:r>
      <w:r w:rsidR="00CC2C0C">
        <w:rPr>
          <w:rFonts w:ascii="Times New Roman" w:hAnsi="Times New Roman" w:cs="Times New Roman"/>
          <w:sz w:val="26"/>
          <w:szCs w:val="28"/>
        </w:rPr>
        <w:t xml:space="preserve">91 обращение поступило через </w:t>
      </w:r>
      <w:proofErr w:type="spellStart"/>
      <w:r w:rsidR="00CC2C0C">
        <w:rPr>
          <w:rFonts w:ascii="Times New Roman" w:hAnsi="Times New Roman" w:cs="Times New Roman"/>
          <w:sz w:val="26"/>
          <w:szCs w:val="28"/>
        </w:rPr>
        <w:t>ВКонтакте</w:t>
      </w:r>
      <w:proofErr w:type="spellEnd"/>
      <w:r w:rsidR="00CC2C0C">
        <w:rPr>
          <w:rFonts w:ascii="Times New Roman" w:hAnsi="Times New Roman" w:cs="Times New Roman"/>
          <w:sz w:val="26"/>
          <w:szCs w:val="28"/>
        </w:rPr>
        <w:t xml:space="preserve"> (  </w:t>
      </w:r>
      <w:r w:rsidR="009D72B1">
        <w:rPr>
          <w:rFonts w:ascii="Times New Roman" w:hAnsi="Times New Roman" w:cs="Times New Roman"/>
          <w:sz w:val="26"/>
          <w:szCs w:val="28"/>
        </w:rPr>
        <w:t xml:space="preserve">в 1 кв.2018 года </w:t>
      </w:r>
      <w:r w:rsidR="00CC2C0C">
        <w:rPr>
          <w:rFonts w:ascii="Times New Roman" w:hAnsi="Times New Roman" w:cs="Times New Roman"/>
          <w:sz w:val="26"/>
          <w:szCs w:val="28"/>
        </w:rPr>
        <w:t xml:space="preserve"> -</w:t>
      </w:r>
      <w:r w:rsidR="009D72B1">
        <w:rPr>
          <w:rFonts w:ascii="Times New Roman" w:hAnsi="Times New Roman" w:cs="Times New Roman"/>
          <w:sz w:val="26"/>
          <w:szCs w:val="28"/>
        </w:rPr>
        <w:t xml:space="preserve"> </w:t>
      </w:r>
      <w:r w:rsidR="00CC2C0C">
        <w:rPr>
          <w:rFonts w:ascii="Times New Roman" w:hAnsi="Times New Roman" w:cs="Times New Roman"/>
          <w:sz w:val="26"/>
          <w:szCs w:val="28"/>
        </w:rPr>
        <w:t>122).</w:t>
      </w:r>
    </w:p>
    <w:p w:rsidR="00ED6C6A" w:rsidRPr="00EF78E4" w:rsidRDefault="003F29A2" w:rsidP="00CC2C0C">
      <w:pPr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EF78E4">
        <w:rPr>
          <w:rFonts w:ascii="Times New Roman" w:hAnsi="Times New Roman" w:cs="Times New Roman"/>
          <w:sz w:val="26"/>
          <w:szCs w:val="28"/>
        </w:rPr>
        <w:t>По всем обращен</w:t>
      </w:r>
      <w:r>
        <w:rPr>
          <w:rFonts w:ascii="Times New Roman" w:hAnsi="Times New Roman" w:cs="Times New Roman"/>
          <w:sz w:val="26"/>
          <w:szCs w:val="28"/>
        </w:rPr>
        <w:t xml:space="preserve">иям приняты исчерпывающие меры, </w:t>
      </w:r>
      <w:r w:rsidRPr="00EF78E4">
        <w:rPr>
          <w:rFonts w:ascii="Times New Roman" w:hAnsi="Times New Roman" w:cs="Times New Roman"/>
          <w:sz w:val="26"/>
          <w:szCs w:val="28"/>
        </w:rPr>
        <w:t>заявителям в установленный законодательств</w:t>
      </w:r>
      <w:r>
        <w:rPr>
          <w:rFonts w:ascii="Times New Roman" w:hAnsi="Times New Roman" w:cs="Times New Roman"/>
          <w:sz w:val="26"/>
          <w:szCs w:val="28"/>
        </w:rPr>
        <w:t xml:space="preserve">ом срок даны ответы по существу </w:t>
      </w:r>
      <w:r w:rsidRPr="00EF78E4">
        <w:rPr>
          <w:rFonts w:ascii="Times New Roman" w:hAnsi="Times New Roman" w:cs="Times New Roman"/>
          <w:sz w:val="26"/>
          <w:szCs w:val="28"/>
        </w:rPr>
        <w:t>поставленных вопросов.</w:t>
      </w:r>
      <w:r w:rsidR="00BE1B52">
        <w:rPr>
          <w:rFonts w:ascii="Times New Roman" w:hAnsi="Times New Roman" w:cs="Times New Roman"/>
          <w:sz w:val="26"/>
          <w:szCs w:val="28"/>
        </w:rPr>
        <w:t xml:space="preserve"> </w:t>
      </w:r>
      <w:r w:rsidR="009747AD" w:rsidRPr="00EF78E4">
        <w:rPr>
          <w:rFonts w:ascii="Times New Roman" w:hAnsi="Times New Roman" w:cs="Times New Roman"/>
          <w:sz w:val="26"/>
          <w:szCs w:val="28"/>
        </w:rPr>
        <w:t xml:space="preserve">При рассмотрении обращений за отчетный период специалистами Комитета проведено </w:t>
      </w:r>
      <w:r w:rsidR="00BE1B52">
        <w:rPr>
          <w:rFonts w:ascii="Times New Roman" w:hAnsi="Times New Roman" w:cs="Times New Roman"/>
          <w:sz w:val="26"/>
          <w:szCs w:val="28"/>
        </w:rPr>
        <w:t>744 внеплановые</w:t>
      </w:r>
      <w:r>
        <w:rPr>
          <w:rFonts w:ascii="Times New Roman" w:hAnsi="Times New Roman" w:cs="Times New Roman"/>
          <w:sz w:val="26"/>
          <w:szCs w:val="28"/>
        </w:rPr>
        <w:t xml:space="preserve"> проверк</w:t>
      </w:r>
      <w:r w:rsidR="00BE1B52">
        <w:rPr>
          <w:rFonts w:ascii="Times New Roman" w:hAnsi="Times New Roman" w:cs="Times New Roman"/>
          <w:sz w:val="26"/>
          <w:szCs w:val="28"/>
        </w:rPr>
        <w:t>и по нарушениям жилищных прав граждан, п</w:t>
      </w:r>
      <w:r w:rsidRPr="00EF78E4">
        <w:rPr>
          <w:rFonts w:ascii="Times New Roman" w:hAnsi="Times New Roman" w:cs="Times New Roman"/>
          <w:sz w:val="26"/>
          <w:szCs w:val="28"/>
        </w:rPr>
        <w:t>о выявленным нар</w:t>
      </w:r>
      <w:r>
        <w:rPr>
          <w:rFonts w:ascii="Times New Roman" w:hAnsi="Times New Roman" w:cs="Times New Roman"/>
          <w:sz w:val="26"/>
          <w:szCs w:val="28"/>
        </w:rPr>
        <w:t>ушениям выдано</w:t>
      </w:r>
      <w:r w:rsidR="007C17C4">
        <w:rPr>
          <w:rFonts w:ascii="Times New Roman" w:hAnsi="Times New Roman" w:cs="Times New Roman"/>
          <w:sz w:val="26"/>
          <w:szCs w:val="28"/>
        </w:rPr>
        <w:t xml:space="preserve"> </w:t>
      </w:r>
      <w:r w:rsidRPr="00EF78E4">
        <w:rPr>
          <w:rFonts w:ascii="Times New Roman" w:hAnsi="Times New Roman" w:cs="Times New Roman"/>
          <w:sz w:val="26"/>
          <w:szCs w:val="28"/>
        </w:rPr>
        <w:t>3</w:t>
      </w:r>
      <w:r w:rsidR="00BE1B52">
        <w:rPr>
          <w:rFonts w:ascii="Times New Roman" w:hAnsi="Times New Roman" w:cs="Times New Roman"/>
          <w:sz w:val="26"/>
          <w:szCs w:val="28"/>
        </w:rPr>
        <w:t>80</w:t>
      </w:r>
      <w:r w:rsidRPr="00EF78E4">
        <w:rPr>
          <w:rFonts w:ascii="Times New Roman" w:hAnsi="Times New Roman" w:cs="Times New Roman"/>
          <w:sz w:val="26"/>
          <w:szCs w:val="28"/>
        </w:rPr>
        <w:t xml:space="preserve"> предписаний</w:t>
      </w:r>
      <w:r w:rsidR="00BE1B52">
        <w:rPr>
          <w:rFonts w:ascii="Times New Roman" w:hAnsi="Times New Roman" w:cs="Times New Roman"/>
          <w:sz w:val="26"/>
          <w:szCs w:val="28"/>
        </w:rPr>
        <w:t>.</w:t>
      </w:r>
      <w:r w:rsidR="00CC2C0C">
        <w:rPr>
          <w:rFonts w:ascii="Times New Roman" w:hAnsi="Times New Roman" w:cs="Times New Roman"/>
          <w:sz w:val="26"/>
          <w:szCs w:val="28"/>
        </w:rPr>
        <w:t xml:space="preserve"> В</w:t>
      </w:r>
      <w:r w:rsidR="00EF78E4" w:rsidRPr="00EF78E4">
        <w:rPr>
          <w:rFonts w:ascii="Times New Roman" w:hAnsi="Times New Roman" w:cs="Times New Roman"/>
          <w:sz w:val="26"/>
          <w:szCs w:val="28"/>
        </w:rPr>
        <w:t xml:space="preserve"> отношен</w:t>
      </w:r>
      <w:r w:rsidR="00EF78E4">
        <w:rPr>
          <w:rFonts w:ascii="Times New Roman" w:hAnsi="Times New Roman" w:cs="Times New Roman"/>
          <w:sz w:val="26"/>
          <w:szCs w:val="28"/>
        </w:rPr>
        <w:t>ии виновных лиц возбужден</w:t>
      </w:r>
      <w:r w:rsidR="00CC2C0C">
        <w:rPr>
          <w:rFonts w:ascii="Times New Roman" w:hAnsi="Times New Roman" w:cs="Times New Roman"/>
          <w:sz w:val="26"/>
          <w:szCs w:val="28"/>
        </w:rPr>
        <w:t>ы</w:t>
      </w:r>
      <w:r w:rsidR="00EF78E4">
        <w:rPr>
          <w:rFonts w:ascii="Times New Roman" w:hAnsi="Times New Roman" w:cs="Times New Roman"/>
          <w:sz w:val="26"/>
          <w:szCs w:val="28"/>
        </w:rPr>
        <w:t xml:space="preserve"> </w:t>
      </w:r>
      <w:r w:rsidR="00EF78E4" w:rsidRPr="00EF78E4">
        <w:rPr>
          <w:rFonts w:ascii="Times New Roman" w:hAnsi="Times New Roman" w:cs="Times New Roman"/>
          <w:sz w:val="26"/>
          <w:szCs w:val="28"/>
        </w:rPr>
        <w:t>дел</w:t>
      </w:r>
      <w:r w:rsidR="00EF78E4">
        <w:rPr>
          <w:rFonts w:ascii="Times New Roman" w:hAnsi="Times New Roman" w:cs="Times New Roman"/>
          <w:sz w:val="26"/>
          <w:szCs w:val="28"/>
        </w:rPr>
        <w:t>а</w:t>
      </w:r>
      <w:r w:rsidR="00EF78E4" w:rsidRPr="00EF78E4">
        <w:rPr>
          <w:rFonts w:ascii="Times New Roman" w:hAnsi="Times New Roman" w:cs="Times New Roman"/>
          <w:sz w:val="26"/>
          <w:szCs w:val="28"/>
        </w:rPr>
        <w:t xml:space="preserve"> об административных</w:t>
      </w:r>
      <w:r w:rsidR="00CC2C0C">
        <w:rPr>
          <w:rFonts w:ascii="Times New Roman" w:hAnsi="Times New Roman" w:cs="Times New Roman"/>
          <w:sz w:val="26"/>
          <w:szCs w:val="28"/>
        </w:rPr>
        <w:t xml:space="preserve"> правонарушениях, а общая сумма </w:t>
      </w:r>
      <w:r w:rsidR="00EF78E4" w:rsidRPr="00EF78E4">
        <w:rPr>
          <w:rFonts w:ascii="Times New Roman" w:hAnsi="Times New Roman" w:cs="Times New Roman"/>
          <w:sz w:val="26"/>
          <w:szCs w:val="28"/>
        </w:rPr>
        <w:t>наложенных штрафных санкций</w:t>
      </w:r>
      <w:r w:rsidR="00CC2C0C">
        <w:rPr>
          <w:rFonts w:ascii="Times New Roman" w:hAnsi="Times New Roman" w:cs="Times New Roman"/>
          <w:sz w:val="26"/>
          <w:szCs w:val="28"/>
        </w:rPr>
        <w:t xml:space="preserve"> за отчетный период</w:t>
      </w:r>
      <w:r w:rsidR="00EF78E4" w:rsidRPr="00EF78E4">
        <w:rPr>
          <w:rFonts w:ascii="Times New Roman" w:hAnsi="Times New Roman" w:cs="Times New Roman"/>
          <w:sz w:val="26"/>
          <w:szCs w:val="28"/>
        </w:rPr>
        <w:t xml:space="preserve"> составила 3</w:t>
      </w:r>
      <w:r w:rsidR="007C17C4">
        <w:rPr>
          <w:rFonts w:ascii="Times New Roman" w:hAnsi="Times New Roman" w:cs="Times New Roman"/>
          <w:sz w:val="26"/>
          <w:szCs w:val="28"/>
        </w:rPr>
        <w:t xml:space="preserve"> 544</w:t>
      </w:r>
      <w:r w:rsidR="00EF78E4" w:rsidRPr="00EF78E4">
        <w:rPr>
          <w:rFonts w:ascii="Times New Roman" w:hAnsi="Times New Roman" w:cs="Times New Roman"/>
          <w:sz w:val="26"/>
          <w:szCs w:val="28"/>
        </w:rPr>
        <w:t>,</w:t>
      </w:r>
      <w:r w:rsidR="007C17C4">
        <w:rPr>
          <w:rFonts w:ascii="Times New Roman" w:hAnsi="Times New Roman" w:cs="Times New Roman"/>
          <w:sz w:val="26"/>
          <w:szCs w:val="28"/>
        </w:rPr>
        <w:t>5</w:t>
      </w:r>
      <w:r w:rsidR="00EF78E4" w:rsidRPr="00EF78E4">
        <w:rPr>
          <w:rFonts w:ascii="Times New Roman" w:hAnsi="Times New Roman" w:cs="Times New Roman"/>
          <w:sz w:val="26"/>
          <w:szCs w:val="28"/>
        </w:rPr>
        <w:t>.</w:t>
      </w:r>
      <w:r w:rsidR="007C17C4">
        <w:rPr>
          <w:rFonts w:ascii="Times New Roman" w:hAnsi="Times New Roman" w:cs="Times New Roman"/>
          <w:sz w:val="26"/>
          <w:szCs w:val="28"/>
        </w:rPr>
        <w:t xml:space="preserve">тыс. </w:t>
      </w:r>
      <w:r w:rsidR="00EF78E4" w:rsidRPr="00EF78E4">
        <w:rPr>
          <w:rFonts w:ascii="Times New Roman" w:hAnsi="Times New Roman" w:cs="Times New Roman"/>
          <w:sz w:val="26"/>
          <w:szCs w:val="28"/>
        </w:rPr>
        <w:t>руб.</w:t>
      </w:r>
    </w:p>
    <w:sectPr w:rsidR="00ED6C6A" w:rsidRPr="00EF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4BAA"/>
    <w:multiLevelType w:val="hybridMultilevel"/>
    <w:tmpl w:val="6FF4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C1CDE"/>
    <w:multiLevelType w:val="hybridMultilevel"/>
    <w:tmpl w:val="6FF4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4F"/>
    <w:rsid w:val="00075B3D"/>
    <w:rsid w:val="00095663"/>
    <w:rsid w:val="000F42C3"/>
    <w:rsid w:val="002D6265"/>
    <w:rsid w:val="00332A3E"/>
    <w:rsid w:val="0038079D"/>
    <w:rsid w:val="003F29A2"/>
    <w:rsid w:val="00463509"/>
    <w:rsid w:val="00517356"/>
    <w:rsid w:val="0055294A"/>
    <w:rsid w:val="005769DA"/>
    <w:rsid w:val="0073700D"/>
    <w:rsid w:val="007843A8"/>
    <w:rsid w:val="00791A82"/>
    <w:rsid w:val="00792C88"/>
    <w:rsid w:val="00796F4F"/>
    <w:rsid w:val="007C17C4"/>
    <w:rsid w:val="007C6964"/>
    <w:rsid w:val="007F4E25"/>
    <w:rsid w:val="00887B1A"/>
    <w:rsid w:val="008A596C"/>
    <w:rsid w:val="009747AD"/>
    <w:rsid w:val="009B1A5B"/>
    <w:rsid w:val="009B518E"/>
    <w:rsid w:val="009D72B1"/>
    <w:rsid w:val="00A66874"/>
    <w:rsid w:val="00BC1D82"/>
    <w:rsid w:val="00BE1B52"/>
    <w:rsid w:val="00CA2FA2"/>
    <w:rsid w:val="00CC2C0C"/>
    <w:rsid w:val="00D142EF"/>
    <w:rsid w:val="00D427EB"/>
    <w:rsid w:val="00DE709D"/>
    <w:rsid w:val="00ED6C6A"/>
    <w:rsid w:val="00EF78E4"/>
    <w:rsid w:val="00FA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80FFC-F276-45CD-86FC-99BF31DD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4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Абрамова</dc:creator>
  <cp:keywords/>
  <dc:description/>
  <cp:lastModifiedBy>Олег Иванович Курило</cp:lastModifiedBy>
  <cp:revision>2</cp:revision>
  <cp:lastPrinted>2019-06-17T13:52:00Z</cp:lastPrinted>
  <dcterms:created xsi:type="dcterms:W3CDTF">2019-06-24T13:29:00Z</dcterms:created>
  <dcterms:modified xsi:type="dcterms:W3CDTF">2019-06-24T13:29:00Z</dcterms:modified>
</cp:coreProperties>
</file>